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77B3E"/>
    <w:p w:rsidR="00A77B3E">
      <w:pPr>
        <w:pStyle w:val="1"/>
      </w:pPr>
    </w:p>
    <w:p w:rsidR="00A77B3E">
      <w:pPr>
        <w:pStyle w:val="1"/>
      </w:pPr>
    </w:p>
    <w:p w:rsidR="00A77B3E">
      <w:pPr>
        <w:pStyle w:val="2"/>
      </w:pPr>
      <w:r>
        <w:t>204</w:t>
      </w:r>
    </w:p>
    <w:p w:rsidR="00A77B3E">
      <w:pPr>
        <w:pStyle w:val="3"/>
      </w:pPr>
      <w:r>
        <w:t>VYHLÁŠKA</w:t>
      </w:r>
    </w:p>
    <w:p w:rsidR="00A77B3E">
      <w:pPr>
        <w:pStyle w:val="4"/>
      </w:pPr>
      <w:r>
        <w:t>ze dne 15. června 2016,</w:t>
      </w:r>
    </w:p>
    <w:p w:rsidR="00A77B3E">
      <w:pPr>
        <w:pStyle w:val="5"/>
      </w:pPr>
      <w:r>
        <w:t>kterou se mění vyhláška č. 528/2005 Sb., o fyzické bezpečnosti a certifikaci technických prostředků, ve znění pozdějších předpisů</w:t>
      </w:r>
    </w:p>
    <w:p w:rsidR="00A77B3E">
      <w:pPr>
        <w:pStyle w:val="6"/>
      </w:pPr>
      <w:r>
        <w:t>Národní bezpečnostní úřad stanoví podle § 33 a § 53 písm. a), c), d), e), f) a j) zákona č. 412/2005 Sb., o ochraně utajovaných informací a o bezpečnostní způsobilosti, ve znění zákona č. 255/2011 Sb.:</w:t>
      </w:r>
    </w:p>
    <w:p w:rsidR="00A77B3E">
      <w:pPr>
        <w:pStyle w:val="1"/>
      </w:pPr>
    </w:p>
    <w:p w:rsidR="00A77B3E">
      <w:pPr>
        <w:pStyle w:val="7"/>
      </w:pPr>
      <w:r>
        <w:t>Čl. I</w:t>
      </w:r>
    </w:p>
    <w:p w:rsidR="00A77B3E">
      <w:pPr>
        <w:pStyle w:val="8"/>
      </w:pPr>
      <w:r>
        <w:t>V příloze č. 1 k vyhlášce č. 528/2005 Sb., o fyzické bezpečnosti a certifikaci technických prostředků, ve znění vyhlášky č. 454/2011 Sb., bod 4.1. včetně nadpisu zní:</w:t>
      </w:r>
    </w:p>
    <w:p w:rsidR="00A77B3E">
      <w:pPr>
        <w:pStyle w:val="9"/>
      </w:pPr>
    </w:p>
    <w:p w:rsidR="00A77B3E">
      <w:pPr>
        <w:pStyle w:val="10"/>
      </w:pPr>
      <w:r>
        <w:t>„4. 1.</w:t>
      </w:r>
      <w:r>
        <w:t>    SYSTÉM KONTROLY VSTUPU DO ZABEZPEČENÉ OBLASTI NEBO OBJEKTU</w:t>
      </w:r>
    </w:p>
    <w:p w:rsidR="00A77B3E">
      <w:pPr>
        <w:pStyle w:val="11"/>
      </w:pPr>
      <w:r>
        <w:t>Systém kontroly vstupu je hodnocen za předpokladu jeho realizace na všech vstupech do objektu nebo zabezpečené oblasti.</w:t>
      </w:r>
    </w:p>
    <w:p w:rsidR="00A77B3E">
      <w:pPr>
        <w:pStyle w:val="12"/>
      </w:pPr>
      <w:r>
        <w:t>4.1.1.</w:t>
      </w:r>
      <w:r>
        <w:t>    Systém kontroly vstupu typ 4:</w:t>
      </w:r>
    </w:p>
    <w:p w:rsidR="00A77B3E">
      <w:pPr>
        <w:pStyle w:val="13"/>
      </w:pPr>
      <w:r>
        <w:t>SS6 = 4 body</w:t>
      </w:r>
    </w:p>
    <w:p w:rsidR="00A77B3E">
      <w:pPr>
        <w:pStyle w:val="11"/>
      </w:pPr>
      <w:r>
        <w:t>Systém kontroly vstupu typu 4 musí být certifikovaný Úřadem, splňovat minimálně stupeň 3 podle ČSN EN 60839-11-1 Poplachové a elektronické bezpečnostní systémy - Část 11-1: Elektronické systémy kontroly vstupu - Požadavky na systém a komponenty, a k přístupu je používán:</w:t>
      </w:r>
    </w:p>
    <w:p w:rsidR="00A77B3E">
      <w:pPr>
        <w:pStyle w:val="14"/>
      </w:pPr>
      <w:r>
        <w:t>a)</w:t>
      </w:r>
      <w:r>
        <w:t>    identifikační prvek a PIN,</w:t>
      </w:r>
    </w:p>
    <w:p w:rsidR="00A77B3E">
      <w:pPr>
        <w:pStyle w:val="15"/>
      </w:pPr>
      <w:r>
        <w:t>b)</w:t>
      </w:r>
      <w:r>
        <w:t>    biometrie a PIN, nebo</w:t>
      </w:r>
    </w:p>
    <w:p w:rsidR="00A77B3E">
      <w:pPr>
        <w:pStyle w:val="16"/>
      </w:pPr>
      <w:r>
        <w:t>c)</w:t>
      </w:r>
      <w:r>
        <w:t>    identifikační prvek a biometrie.</w:t>
      </w:r>
    </w:p>
    <w:p w:rsidR="00A77B3E">
      <w:pPr>
        <w:pStyle w:val="11"/>
      </w:pPr>
      <w:r>
        <w:t>Systém kontroly vstupu typu 4 musí být doplněn přístupovou bariérou znemožňující opakovaný přístup a zabezpečující režim „jedna transakce - jeden průchod“.</w:t>
      </w:r>
    </w:p>
    <w:p w:rsidR="00A77B3E">
      <w:pPr>
        <w:pStyle w:val="12"/>
      </w:pPr>
      <w:r>
        <w:t>4.1.2.</w:t>
      </w:r>
      <w:r>
        <w:t>    Systém kontroly vstupu typ 3:</w:t>
      </w:r>
    </w:p>
    <w:p w:rsidR="00A77B3E">
      <w:pPr>
        <w:pStyle w:val="13"/>
      </w:pPr>
      <w:r>
        <w:t>SS6 = 3 body</w:t>
      </w:r>
    </w:p>
    <w:p w:rsidR="00A77B3E">
      <w:pPr>
        <w:pStyle w:val="11"/>
      </w:pPr>
      <w:r>
        <w:t>Systém kontroly vstupu typu 3 musí být certifikovaný Úřadem, splňovat minimálně stupeň 3 podle ČSN EN 60839-11-1 Poplachové a elektronické bezpečnostní systémy - Část 11-1: Elektronické systémy kontroly vstupu - Požadavky na systém a komponenty, a k přístupu je používán:</w:t>
      </w:r>
    </w:p>
    <w:p w:rsidR="00A77B3E">
      <w:pPr>
        <w:pStyle w:val="14"/>
      </w:pPr>
      <w:r>
        <w:t>a)</w:t>
      </w:r>
      <w:r>
        <w:t>    identifikační prvek a PIN,</w:t>
      </w:r>
    </w:p>
    <w:p w:rsidR="00A77B3E">
      <w:pPr>
        <w:pStyle w:val="15"/>
      </w:pPr>
      <w:r>
        <w:t>b)</w:t>
      </w:r>
      <w:r>
        <w:t>    biometrie a PIN, nebo</w:t>
      </w:r>
    </w:p>
    <w:p w:rsidR="00A77B3E">
      <w:pPr>
        <w:pStyle w:val="16"/>
      </w:pPr>
      <w:r>
        <w:t>c)</w:t>
      </w:r>
      <w:r>
        <w:t>    identifikační prvek a biometrie.</w:t>
      </w:r>
    </w:p>
    <w:p w:rsidR="00A77B3E">
      <w:pPr>
        <w:pStyle w:val="12"/>
      </w:pPr>
      <w:r>
        <w:t>4.1.3.</w:t>
      </w:r>
      <w:r>
        <w:t>    Systém kontroly vstupu typ 2:</w:t>
      </w:r>
    </w:p>
    <w:p w:rsidR="00A77B3E">
      <w:pPr>
        <w:pStyle w:val="13"/>
      </w:pPr>
      <w:r>
        <w:t>SS6 = 2 body</w:t>
      </w:r>
    </w:p>
    <w:p w:rsidR="00A77B3E">
      <w:pPr>
        <w:pStyle w:val="11"/>
      </w:pPr>
      <w:r>
        <w:t>Systém kontroly vstupu typu 2 musí být certifikovaný Úřadem, splňovat minimálně stupeň 3 podle ČSN EN 60839-11-1 Poplachové a elektronické bezpečnostní systémy - Část 11-1: Elektronické systémy kontroly vstupu - Požadavky na systém a komponenty, a k přístupu je používán:</w:t>
      </w:r>
    </w:p>
    <w:p w:rsidR="00A77B3E">
      <w:pPr>
        <w:pStyle w:val="14"/>
      </w:pPr>
      <w:r>
        <w:t>a)</w:t>
      </w:r>
      <w:r>
        <w:t>    identifikační prvek,</w:t>
      </w:r>
    </w:p>
    <w:p w:rsidR="00A77B3E">
      <w:pPr>
        <w:pStyle w:val="15"/>
      </w:pPr>
      <w:r>
        <w:t>b)</w:t>
      </w:r>
      <w:r>
        <w:t>    PIN, nebo</w:t>
      </w:r>
    </w:p>
    <w:p w:rsidR="00A77B3E">
      <w:pPr>
        <w:pStyle w:val="16"/>
      </w:pPr>
      <w:r>
        <w:t>c)</w:t>
      </w:r>
      <w:r>
        <w:t>    biometrie.</w:t>
      </w:r>
    </w:p>
    <w:p w:rsidR="00A77B3E">
      <w:pPr>
        <w:pStyle w:val="11"/>
      </w:pPr>
      <w:r>
        <w:t>Systém kontroly vstupu typu 2, lze nahradit kontrolou vstupu, kterou nepřetržitě provádí ostraha příslušníků ozbrojených sil nebo ozbrojených sborů, a to na všech vstupech do objektu nebo zabezpečené oblasti.</w:t>
      </w:r>
    </w:p>
    <w:p w:rsidR="00A77B3E">
      <w:pPr>
        <w:pStyle w:val="12"/>
      </w:pPr>
      <w:r>
        <w:t>4.1.4.</w:t>
      </w:r>
      <w:r>
        <w:t>    Systém kontroly vstupu typ 1:</w:t>
      </w:r>
    </w:p>
    <w:p w:rsidR="00A77B3E">
      <w:pPr>
        <w:pStyle w:val="13"/>
      </w:pPr>
      <w:r>
        <w:t>SS6 = 1 bod</w:t>
      </w:r>
    </w:p>
    <w:p w:rsidR="00A77B3E">
      <w:pPr>
        <w:pStyle w:val="13"/>
      </w:pPr>
      <w:r>
        <w:t>Systém kontroly vstupu typu 1 tvoří uzamykatelná mechanická zábrana na vstupu.</w:t>
      </w:r>
    </w:p>
    <w:p w:rsidR="00A77B3E">
      <w:pPr>
        <w:pStyle w:val="13"/>
      </w:pPr>
      <w:r>
        <w:t>Poznámka k bodu 4.1.:</w:t>
      </w:r>
    </w:p>
    <w:p w:rsidR="00A77B3E">
      <w:pPr>
        <w:pStyle w:val="17"/>
      </w:pPr>
      <w:r>
        <w:t>Systém kontroly vstupu typu 1 lze použít pouze na vstupu do zabezpečené oblasti kategorie Důvěrné nebo Vyhrazené.</w:t>
      </w:r>
    </w:p>
    <w:p w:rsidR="00A77B3E">
      <w:pPr>
        <w:pStyle w:val="18"/>
      </w:pPr>
      <w:r>
        <w:t>Při kontrole vstupu do objektu nebo zabezpečené oblasti kategorie Přísně tajné se používají zařízení sloužící k vyhledávání nebezpečných látek nebo předmětů.</w:t>
      </w:r>
    </w:p>
    <w:p w:rsidR="00A77B3E">
      <w:pPr>
        <w:pStyle w:val="18"/>
      </w:pPr>
      <w:r>
        <w:t>Elektronický systém kontroly vstupu musí hlásit na stálé stanoviště ostrahy neoprávněný pokus nebo samotné otevření místa přístupu nebo uplynutí povolené doby po oprávněném otevření místa přístupu.</w:t>
      </w:r>
    </w:p>
    <w:p w:rsidR="00A77B3E">
      <w:pPr>
        <w:pStyle w:val="18"/>
      </w:pPr>
      <w:r>
        <w:t>Za certifikovaný elektronický systém kontroly vstupu lze považovat i certifikovaný poplachový zabezpečovací systém s přístupovou nadstavbou.</w:t>
      </w:r>
    </w:p>
    <w:p w:rsidR="00A77B3E">
      <w:pPr>
        <w:pStyle w:val="18"/>
      </w:pPr>
      <w:r>
        <w:t>Rozsah zkoušek, které jsou požadovány pro certifikaci elektronického systému kontroly vstupu, je zveřejňován v certifikačním postupu Úřadu.</w:t>
      </w:r>
    </w:p>
    <w:p w:rsidR="00A77B3E">
      <w:pPr>
        <w:pStyle w:val="19"/>
      </w:pPr>
      <w:r>
        <w:t>Instalace elektronického systému kontroly vstupu, jeho provoz a údržba musí splňovat ČSN EN 60839-11-2 Poplachové a elektronické bezpečnostní systémy - Část 11-2: Elektronické systémy kontroly vstupu - Pokyny pro aplikace.“.</w:t>
      </w:r>
    </w:p>
    <w:p w:rsidR="00A77B3E">
      <w:pPr>
        <w:pStyle w:val="7"/>
      </w:pPr>
      <w:r>
        <w:t>Čl. II</w:t>
      </w:r>
    </w:p>
    <w:p w:rsidR="00A77B3E">
      <w:pPr>
        <w:pStyle w:val="20"/>
      </w:pPr>
      <w:r>
        <w:t>Účinnost</w:t>
      </w:r>
    </w:p>
    <w:p w:rsidR="00A77B3E">
      <w:pPr>
        <w:pStyle w:val="1"/>
      </w:pPr>
    </w:p>
    <w:p w:rsidR="00A77B3E">
      <w:pPr>
        <w:pStyle w:val="8"/>
      </w:pPr>
      <w:r>
        <w:t>Tato vyhláška nabývá účinnosti patnáctým dnem po jejím vyhlášení.</w:t>
      </w:r>
    </w:p>
    <w:p w:rsidR="00A77B3E">
      <w:pPr>
        <w:pStyle w:val="1"/>
      </w:pPr>
    </w:p>
    <w:p w:rsidR="00A77B3E">
      <w:pPr>
        <w:pStyle w:val="21"/>
      </w:pPr>
      <w:r>
        <w:t>Ředitel:</w:t>
      </w:r>
    </w:p>
    <w:p w:rsidR="00A77B3E">
      <w:pPr>
        <w:pStyle w:val="22"/>
      </w:pPr>
      <w:r>
        <w:t>Ing. Navrátil v. r.</w:t>
      </w:r>
    </w:p>
    <w:sectPr>
      <w:headerReference w:type="even" r:id="rId4"/>
      <w:headerReference w:type="default" r:id="rId5"/>
      <w:headerReference w:type="first" r:id="rId6"/>
      <w:pgSz w:w="12240" w:h="15840"/>
      <w:pgMar w:top="1417" w:right="1417" w:bottom="1417" w:left="1417" w:header="400" w:footer="708" w:gutter="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</w:p>
      </w:tc>
      <w:tc>
        <w:tcPr>
          <w:tcW w:w="1000" w:type="pct"/>
        </w:tcPr>
        <w:p>
          <w:pPr>
            <w:pStyle w:val="Hlavicka"/>
            <w:jc w:val="right"/>
          </w:pP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1881"/>
      <w:gridCol w:w="2822"/>
      <w:gridCol w:w="2822"/>
      <w:gridCol w:w="1881"/>
    </w:tblGrid>
    <w:tr>
      <w:tblPrEx>
        <w:tblW w:w="5000" w:type="pct"/>
      </w:tblPrEx>
      <w:tc>
        <w:tcPr>
          <w:tcW w:w="2500" w:type="pct"/>
          <w:gridSpan w:val="4"/>
        </w:tcPr>
        <w:p>
          <w:pPr>
            <w:pStyle w:val="HlavickaZlutyText"/>
            <w:jc w:val="center"/>
          </w:pPr>
        </w:p>
      </w:tc>
    </w:tr>
    <w:tr>
      <w:tblPrEx>
        <w:tblW w:w="5000" w:type="pct"/>
        <w:tblBorders>
          <w:bottom w:val="single" w:sz="12" w:space="0" w:color="000000"/>
        </w:tblBorders>
      </w:tblPrEx>
      <w:tc>
        <w:tcPr>
          <w:tcW w:w="1000" w:type="pct"/>
        </w:tcPr>
        <w:p>
          <w:pPr>
            <w:pStyle w:val="Hlavicka"/>
            <w:jc w:val="left"/>
          </w:pPr>
        </w:p>
      </w:tc>
      <w:tc>
        <w:tcPr>
          <w:tcW w:w="3000" w:type="pct"/>
          <w:gridSpan w:val="2"/>
        </w:tcPr>
        <w:p>
          <w:pPr>
            <w:pStyle w:val="Hlavicka"/>
            <w:jc w:val="center"/>
          </w:pPr>
        </w:p>
      </w:tc>
      <w:tc>
        <w:tcPr>
          <w:tcW w:w="1000" w:type="pct"/>
        </w:tcPr>
        <w:p>
          <w:pPr>
            <w:pStyle w:val="Hlavicka"/>
            <w:jc w:val="right"/>
          </w:pPr>
          <w:r>
            <w:t xml:space="preserve">strana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  <w:tr>
      <w:tblPrEx>
        <w:tblW w:w="5000" w:type="pct"/>
      </w:tblPrEx>
      <w:tc>
        <w:tcPr>
          <w:tcW w:w="2500" w:type="pct"/>
          <w:gridSpan w:val="2"/>
        </w:tcPr>
        <w:p>
          <w:pPr>
            <w:pStyle w:val="Hlavicka"/>
            <w:jc w:val="left"/>
          </w:pPr>
        </w:p>
      </w:tc>
      <w:tc>
        <w:tcPr>
          <w:tcW w:w="2500" w:type="pct"/>
          <w:gridSpan w:val="2"/>
        </w:tcPr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CellMar>
        <w:left w:w="108" w:type="dxa"/>
        <w:right w:w="108" w:type="dxa"/>
      </w:tblCellMar>
    </w:tblPr>
    <w:tblGrid>
      <w:gridCol w:w="9406"/>
    </w:tblGrid>
    <w:tr>
      <w:tblPrEx>
        <w:tblW w:w="5000" w:type="pct"/>
      </w:tblPrEx>
      <w:tc>
        <w:tcPr/>
        <w:p>
          <w:pPr>
            <w:pStyle w:val="HlavickaZlutyText"/>
            <w:jc w:val="center"/>
          </w:pPr>
        </w:p>
      </w:tc>
    </w:tr>
    <w:tr>
      <w:tblPrEx>
        <w:tblW w:w="5000" w:type="pct"/>
      </w:tblPrEx>
      <w:tc>
        <w:tcPr/>
        <w:p>
          <w:pPr>
            <w:pStyle w:val="Hlavicka"/>
            <w:jc w:val="right"/>
          </w:pPr>
        </w:p>
      </w:tc>
    </w:tr>
  </w:tbl>
  <w:p>
    <w:pPr>
      <w:pStyle w:val="Hlavic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evenAndOddHeader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lavicka">
    <w:name w:val="Hlavicka"/>
    <w:rPr>
      <w:i/>
      <w:sz w:val="20"/>
    </w:rPr>
  </w:style>
  <w:style w:type="paragraph" w:customStyle="1" w:styleId="HlavickaZlutyText">
    <w:name w:val="HlavickaZlutyText"/>
    <w:rPr>
      <w:i w:val="0"/>
      <w:sz w:val="18"/>
    </w:rPr>
  </w:style>
  <w:style w:type="paragraph" w:customStyle="1" w:styleId="Variantastart">
    <w:name w:val="Varianta_start"/>
    <w:pPr>
      <w:pBdr>
        <w:top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konec">
    <w:name w:val="Varianta_konec"/>
    <w:pPr>
      <w:pBdr>
        <w:bottom w:val="single" w:sz="8" w:space="0" w:color="80008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start">
    <w:name w:val="Ucinnost_start"/>
    <w:pPr>
      <w:pBdr>
        <w:top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konec">
    <w:name w:val="Ucinnost_konec"/>
    <w:pPr>
      <w:pBdr>
        <w:bottom w:val="single" w:sz="8" w:space="0" w:color="8B0000"/>
      </w:pBdr>
      <w:spacing w:before="0" w:after="100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Celex">
    <w:name w:val="Celex"/>
    <w:pPr>
      <w:spacing w:before="120" w:after="120"/>
      <w:jc w:val="left"/>
    </w:pPr>
    <w:rPr>
      <w:rFonts w:ascii="Times New Roman" w:eastAsia="Times New Roman" w:hAnsi="Times New Roman" w:cs="Times New Roman"/>
      <w:i/>
      <w:sz w:val="20"/>
    </w:rPr>
  </w:style>
  <w:style w:type="paragraph" w:customStyle="1" w:styleId="Pripominkystart">
    <w:name w:val="Pripominky_start"/>
    <w:pPr>
      <w:pBdr>
        <w:top w:val="single" w:sz="8" w:space="0" w:color="87CEFA"/>
      </w:pBdr>
      <w:spacing w:before="0" w:after="100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">
    <w:name w:val="1"/>
    <w:pPr>
      <w:spacing w:before="11" w:after="0"/>
      <w:ind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2">
    <w:name w:val="2"/>
    <w:pPr>
      <w:spacing w:before="57" w:after="227"/>
      <w:ind w:right="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3">
    <w:name w:val="3"/>
    <w:pPr>
      <w:spacing w:before="0" w:after="0"/>
      <w:ind w:left="680" w:right="680"/>
      <w:jc w:val="center"/>
    </w:pPr>
    <w:rPr>
      <w:rFonts w:ascii="Times New Roman" w:eastAsia="Times New Roman" w:hAnsi="Times New Roman" w:cs="Times New Roman"/>
      <w:b/>
      <w:caps/>
      <w:sz w:val="32"/>
    </w:rPr>
  </w:style>
  <w:style w:type="paragraph" w:customStyle="1" w:styleId="4">
    <w:name w:val="4"/>
    <w:pPr>
      <w:spacing w:before="0" w:after="170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5">
    <w:name w:val="5"/>
    <w:pPr>
      <w:spacing w:before="340" w:after="113"/>
      <w:ind w:left="850" w:right="850"/>
      <w:jc w:val="center"/>
    </w:pPr>
    <w:rPr>
      <w:rFonts w:ascii="Times New Roman" w:eastAsia="Times New Roman" w:hAnsi="Times New Roman" w:cs="Times New Roman"/>
      <w:b/>
      <w:sz w:val="34"/>
    </w:rPr>
  </w:style>
  <w:style w:type="paragraph" w:customStyle="1" w:styleId="6">
    <w:name w:val="6"/>
    <w:pPr>
      <w:spacing w:before="283" w:after="340"/>
      <w:ind w:right="0"/>
      <w:jc w:val="left"/>
    </w:pPr>
    <w:rPr>
      <w:rFonts w:ascii="Times New Roman" w:eastAsia="Times New Roman" w:hAnsi="Times New Roman" w:cs="Times New Roman"/>
      <w:sz w:val="30"/>
    </w:rPr>
  </w:style>
  <w:style w:type="paragraph" w:customStyle="1" w:styleId="7">
    <w:name w:val="7"/>
    <w:pPr>
      <w:overflowPunct/>
      <w:spacing w:before="227" w:after="113"/>
      <w:ind w:left="0" w:right="0" w:firstLine="0"/>
      <w:jc w:val="center"/>
    </w:pPr>
    <w:rPr>
      <w:rFonts w:ascii="Times New Roman" w:eastAsia="Times New Roman" w:hAnsi="Times New Roman" w:cs="Times New Roman"/>
      <w:sz w:val="28"/>
    </w:rPr>
  </w:style>
  <w:style w:type="paragraph" w:customStyle="1" w:styleId="8">
    <w:name w:val="8"/>
    <w:pPr>
      <w:spacing w:before="0" w:after="57"/>
      <w:ind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9">
    <w:name w:val="9"/>
    <w:pPr>
      <w:spacing w:before="0" w:after="0"/>
      <w:ind w:left="340" w:right="0"/>
      <w:jc w:val="left"/>
    </w:pPr>
    <w:rPr>
      <w:rFonts w:ascii="Times New Roman" w:eastAsia="Times New Roman" w:hAnsi="Times New Roman" w:cs="Times New Roman"/>
      <w:sz w:val="0"/>
    </w:rPr>
  </w:style>
  <w:style w:type="paragraph" w:customStyle="1" w:styleId="10">
    <w:name w:val="10"/>
    <w:pPr>
      <w:overflowPunct/>
      <w:spacing w:before="0" w:after="113"/>
      <w:ind w:left="964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0start">
    <w:name w:val="Varianta_10_start"/>
    <w:pPr>
      <w:pBdr>
        <w:top w:val="single" w:sz="8" w:space="0" w:color="800080"/>
      </w:pBdr>
      <w:spacing w:before="0" w:after="100"/>
      <w:ind w:left="96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0konec">
    <w:name w:val="Varianta_10_konec"/>
    <w:pPr>
      <w:pBdr>
        <w:bottom w:val="single" w:sz="8" w:space="0" w:color="800080"/>
      </w:pBdr>
      <w:spacing w:before="0" w:after="100"/>
      <w:ind w:left="96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0start">
    <w:name w:val="Ucinnost_10_start"/>
    <w:pPr>
      <w:pBdr>
        <w:top w:val="single" w:sz="8" w:space="0" w:color="8B0000"/>
      </w:pBdr>
      <w:spacing w:before="0" w:after="100"/>
      <w:ind w:left="96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0konec">
    <w:name w:val="Ucinnost_10_konec"/>
    <w:pPr>
      <w:pBdr>
        <w:bottom w:val="single" w:sz="8" w:space="0" w:color="8B0000"/>
      </w:pBdr>
      <w:spacing w:before="0" w:after="100"/>
      <w:ind w:left="96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0start">
    <w:name w:val="Pripominky_10_start"/>
    <w:pPr>
      <w:pBdr>
        <w:top w:val="single" w:sz="8" w:space="0" w:color="87CEFA"/>
      </w:pBdr>
      <w:spacing w:before="0" w:after="100"/>
      <w:ind w:left="964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1">
    <w:name w:val="11"/>
    <w:pPr>
      <w:spacing w:before="0" w:after="57"/>
      <w:ind w:left="964"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2">
    <w:name w:val="12"/>
    <w:pPr>
      <w:overflowPunct/>
      <w:spacing w:before="0" w:after="113"/>
      <w:ind w:left="1587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2start">
    <w:name w:val="Varianta_12_start"/>
    <w:pPr>
      <w:pBdr>
        <w:top w:val="single" w:sz="8" w:space="0" w:color="800080"/>
      </w:pBdr>
      <w:spacing w:before="0" w:after="100"/>
      <w:ind w:left="1587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2konec">
    <w:name w:val="Varianta_12_konec"/>
    <w:pPr>
      <w:pBdr>
        <w:bottom w:val="single" w:sz="8" w:space="0" w:color="800080"/>
      </w:pBdr>
      <w:spacing w:before="0" w:after="100"/>
      <w:ind w:left="1587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2start">
    <w:name w:val="Ucinnost_12_start"/>
    <w:pPr>
      <w:pBdr>
        <w:top w:val="single" w:sz="8" w:space="0" w:color="8B0000"/>
      </w:pBdr>
      <w:spacing w:before="0" w:after="100"/>
      <w:ind w:left="1587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2konec">
    <w:name w:val="Ucinnost_12_konec"/>
    <w:pPr>
      <w:pBdr>
        <w:bottom w:val="single" w:sz="8" w:space="0" w:color="8B0000"/>
      </w:pBdr>
      <w:spacing w:before="0" w:after="100"/>
      <w:ind w:left="1587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2start">
    <w:name w:val="Pripominky_12_start"/>
    <w:pPr>
      <w:pBdr>
        <w:top w:val="single" w:sz="8" w:space="0" w:color="87CEFA"/>
      </w:pBdr>
      <w:spacing w:before="0" w:after="100"/>
      <w:ind w:left="1587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3">
    <w:name w:val="13"/>
    <w:pPr>
      <w:spacing w:before="0" w:after="57"/>
      <w:ind w:left="1587"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4">
    <w:name w:val="14"/>
    <w:pPr>
      <w:overflowPunct/>
      <w:spacing w:before="0" w:after="57"/>
      <w:ind w:left="1644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4start">
    <w:name w:val="Varianta_14_start"/>
    <w:pPr>
      <w:pBdr>
        <w:top w:val="single" w:sz="8" w:space="0" w:color="80008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4konec">
    <w:name w:val="Varianta_14_konec"/>
    <w:pPr>
      <w:pBdr>
        <w:bottom w:val="single" w:sz="8" w:space="0" w:color="80008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4start">
    <w:name w:val="Ucinnost_14_start"/>
    <w:pPr>
      <w:pBdr>
        <w:top w:val="single" w:sz="8" w:space="0" w:color="8B000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4konec">
    <w:name w:val="Ucinnost_14_konec"/>
    <w:pPr>
      <w:pBdr>
        <w:bottom w:val="single" w:sz="8" w:space="0" w:color="8B000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4start">
    <w:name w:val="Pripominky_14_start"/>
    <w:pPr>
      <w:pBdr>
        <w:top w:val="single" w:sz="8" w:space="0" w:color="87CEFA"/>
      </w:pBdr>
      <w:spacing w:before="0" w:after="100"/>
      <w:ind w:left="1644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5">
    <w:name w:val="15"/>
    <w:pPr>
      <w:overflowPunct/>
      <w:spacing w:before="57" w:after="57"/>
      <w:ind w:left="1644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5start">
    <w:name w:val="Varianta_15_start"/>
    <w:pPr>
      <w:pBdr>
        <w:top w:val="single" w:sz="8" w:space="0" w:color="80008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5konec">
    <w:name w:val="Varianta_15_konec"/>
    <w:pPr>
      <w:pBdr>
        <w:bottom w:val="single" w:sz="8" w:space="0" w:color="80008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5start">
    <w:name w:val="Ucinnost_15_start"/>
    <w:pPr>
      <w:pBdr>
        <w:top w:val="single" w:sz="8" w:space="0" w:color="8B000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5konec">
    <w:name w:val="Ucinnost_15_konec"/>
    <w:pPr>
      <w:pBdr>
        <w:bottom w:val="single" w:sz="8" w:space="0" w:color="8B000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5start">
    <w:name w:val="Pripominky_15_start"/>
    <w:pPr>
      <w:pBdr>
        <w:top w:val="single" w:sz="8" w:space="0" w:color="87CEFA"/>
      </w:pBdr>
      <w:spacing w:before="0" w:after="100"/>
      <w:ind w:left="1644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6">
    <w:name w:val="16"/>
    <w:pPr>
      <w:overflowPunct/>
      <w:spacing w:before="57" w:after="227"/>
      <w:ind w:left="1644" w:right="0" w:hanging="34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Varianta16start">
    <w:name w:val="Varianta_16_start"/>
    <w:pPr>
      <w:pBdr>
        <w:top w:val="single" w:sz="8" w:space="0" w:color="80008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Varianta16konec">
    <w:name w:val="Varianta_16_konec"/>
    <w:pPr>
      <w:pBdr>
        <w:bottom w:val="single" w:sz="8" w:space="0" w:color="80008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00080"/>
      <w:sz w:val="20"/>
    </w:rPr>
  </w:style>
  <w:style w:type="paragraph" w:customStyle="1" w:styleId="Ucinnost16start">
    <w:name w:val="Ucinnost_16_start"/>
    <w:pPr>
      <w:pBdr>
        <w:top w:val="single" w:sz="8" w:space="0" w:color="8B000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Ucinnost16konec">
    <w:name w:val="Ucinnost_16_konec"/>
    <w:pPr>
      <w:pBdr>
        <w:bottom w:val="single" w:sz="8" w:space="0" w:color="8B0000"/>
      </w:pBdr>
      <w:spacing w:before="0" w:after="100"/>
      <w:ind w:left="1644"/>
      <w:jc w:val="left"/>
    </w:pPr>
    <w:rPr>
      <w:rFonts w:ascii="Times New Roman" w:eastAsia="Times New Roman" w:hAnsi="Times New Roman" w:cs="Times New Roman"/>
      <w:b/>
      <w:i/>
      <w:color w:val="8B0000"/>
      <w:sz w:val="20"/>
    </w:rPr>
  </w:style>
  <w:style w:type="paragraph" w:customStyle="1" w:styleId="Pripominky16start">
    <w:name w:val="Pripominky_16_start"/>
    <w:pPr>
      <w:pBdr>
        <w:top w:val="single" w:sz="8" w:space="0" w:color="87CEFA"/>
      </w:pBdr>
      <w:spacing w:before="0" w:after="100"/>
      <w:ind w:left="1644"/>
      <w:jc w:val="right"/>
    </w:pPr>
    <w:rPr>
      <w:rFonts w:ascii="Times New Roman" w:eastAsia="Times New Roman" w:hAnsi="Times New Roman" w:cs="Times New Roman"/>
      <w:b/>
      <w:i/>
      <w:color w:val="87CEFA"/>
      <w:sz w:val="20"/>
    </w:rPr>
  </w:style>
  <w:style w:type="paragraph" w:customStyle="1" w:styleId="17">
    <w:name w:val="17"/>
    <w:pPr>
      <w:spacing w:before="0" w:after="113"/>
      <w:ind w:left="1587"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8">
    <w:name w:val="18"/>
    <w:pPr>
      <w:spacing w:before="113" w:after="113"/>
      <w:ind w:left="1587"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9">
    <w:name w:val="19"/>
    <w:pPr>
      <w:spacing w:before="113" w:after="57"/>
      <w:ind w:left="1587" w:right="0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20">
    <w:name w:val="20"/>
    <w:pPr>
      <w:spacing w:before="0" w:after="57"/>
      <w:ind w:left="850" w:right="850"/>
      <w:jc w:val="center"/>
    </w:pPr>
    <w:rPr>
      <w:rFonts w:ascii="Times New Roman" w:eastAsia="Times New Roman" w:hAnsi="Times New Roman" w:cs="Times New Roman"/>
      <w:b/>
      <w:sz w:val="28"/>
    </w:rPr>
  </w:style>
  <w:style w:type="paragraph" w:customStyle="1" w:styleId="21">
    <w:name w:val="21"/>
    <w:pPr>
      <w:spacing w:before="57" w:after="57"/>
      <w:ind w:right="0"/>
      <w:jc w:val="center"/>
    </w:pPr>
    <w:rPr>
      <w:rFonts w:ascii="Times New Roman" w:eastAsia="Times New Roman" w:hAnsi="Times New Roman" w:cs="Times New Roman"/>
      <w:sz w:val="24"/>
    </w:rPr>
  </w:style>
  <w:style w:type="paragraph" w:customStyle="1" w:styleId="22">
    <w:name w:val="22"/>
    <w:pPr>
      <w:spacing w:before="57" w:after="0"/>
      <w:ind w:right="0"/>
      <w:jc w:val="center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